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580A7B">
        <w:rPr>
          <w:b/>
        </w:rPr>
        <w:t>04 марта</w:t>
      </w:r>
      <w:r w:rsidR="006409C3">
        <w:rPr>
          <w:b/>
        </w:rPr>
        <w:t xml:space="preserve"> 2021</w:t>
      </w:r>
      <w:r w:rsidR="009E4562">
        <w:rPr>
          <w:b/>
        </w:rPr>
        <w:t xml:space="preserve">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6409C3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r w:rsidRPr="009E4562">
        <w:rPr>
          <w:sz w:val="24"/>
          <w:szCs w:val="24"/>
          <w:lang w:val="ru-RU"/>
        </w:rPr>
        <w:t>й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</w:t>
      </w:r>
      <w:r w:rsidR="002842D3">
        <w:rPr>
          <w:sz w:val="24"/>
          <w:szCs w:val="24"/>
          <w:lang w:val="ru-RU"/>
        </w:rPr>
        <w:t xml:space="preserve">из одного источника по несостоявшемуся </w:t>
      </w:r>
      <w:r w:rsidR="006409C3">
        <w:rPr>
          <w:sz w:val="24"/>
          <w:szCs w:val="24"/>
          <w:lang w:val="ru-RU"/>
        </w:rPr>
        <w:t xml:space="preserve">запросу ценовых предложений 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tbl>
      <w:tblPr>
        <w:tblW w:w="12632" w:type="dxa"/>
        <w:tblInd w:w="93" w:type="dxa"/>
        <w:tblLook w:val="04A0" w:firstRow="1" w:lastRow="0" w:firstColumn="1" w:lastColumn="0" w:noHBand="0" w:noVBand="1"/>
      </w:tblPr>
      <w:tblGrid>
        <w:gridCol w:w="668"/>
        <w:gridCol w:w="6151"/>
        <w:gridCol w:w="851"/>
        <w:gridCol w:w="1418"/>
        <w:gridCol w:w="1276"/>
        <w:gridCol w:w="2268"/>
      </w:tblGrid>
      <w:tr w:rsidR="00580A7B" w:rsidRPr="00111442" w:rsidTr="00580A7B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A7B" w:rsidRPr="00111442" w:rsidRDefault="00580A7B" w:rsidP="006537EC">
            <w:pPr>
              <w:jc w:val="right"/>
            </w:pPr>
            <w:r w:rsidRPr="00111442">
              <w:t>№ лота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7B" w:rsidRPr="00111442" w:rsidRDefault="00580A7B" w:rsidP="006537EC">
            <w:r w:rsidRPr="00111442"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7B" w:rsidRPr="00111442" w:rsidRDefault="00580A7B" w:rsidP="006537EC">
            <w:pPr>
              <w:jc w:val="center"/>
            </w:pPr>
            <w:r w:rsidRPr="00111442">
              <w:t xml:space="preserve">ед. </w:t>
            </w:r>
            <w:proofErr w:type="spellStart"/>
            <w:r w:rsidRPr="00111442"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7B" w:rsidRPr="00111442" w:rsidRDefault="00580A7B" w:rsidP="006537EC">
            <w:pPr>
              <w:jc w:val="center"/>
            </w:pPr>
            <w:r w:rsidRPr="00111442"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7B" w:rsidRPr="00111442" w:rsidRDefault="00580A7B" w:rsidP="006537EC">
            <w:pPr>
              <w:jc w:val="center"/>
            </w:pPr>
            <w:r w:rsidRPr="00111442"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A7B" w:rsidRPr="00111442" w:rsidRDefault="00580A7B" w:rsidP="006537EC">
            <w:pPr>
              <w:jc w:val="center"/>
            </w:pPr>
            <w:r w:rsidRPr="00111442">
              <w:t>Сумма затрат, тенге</w:t>
            </w:r>
          </w:p>
        </w:tc>
      </w:tr>
      <w:tr w:rsidR="00580A7B" w:rsidRPr="00111442" w:rsidTr="00580A7B">
        <w:trPr>
          <w:trHeight w:val="51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A7B" w:rsidRPr="00111442" w:rsidRDefault="00580A7B" w:rsidP="006537EC">
            <w:pPr>
              <w:jc w:val="right"/>
              <w:rPr>
                <w:lang w:val="en-US"/>
              </w:rPr>
            </w:pPr>
            <w:r w:rsidRPr="00111442">
              <w:rPr>
                <w:lang w:val="en-US"/>
              </w:rPr>
              <w:t>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7B" w:rsidRPr="00CA76DB" w:rsidRDefault="00580A7B" w:rsidP="006537EC">
            <w:pPr>
              <w:jc w:val="both"/>
            </w:pPr>
            <w:r w:rsidRPr="00CA76DB">
              <w:t xml:space="preserve">Водяная баня предназначена для расправления срезов на этапе </w:t>
            </w:r>
            <w:proofErr w:type="spellStart"/>
            <w:r w:rsidRPr="00CA76DB">
              <w:t>микротомии</w:t>
            </w:r>
            <w:proofErr w:type="spellEnd"/>
            <w:r w:rsidRPr="00CA76DB">
              <w:t xml:space="preserve">. Внутренний бак изготовлен из черного анодированного </w:t>
            </w:r>
            <w:proofErr w:type="gramStart"/>
            <w:r w:rsidRPr="00CA76DB">
              <w:t>алюминия</w:t>
            </w:r>
            <w:proofErr w:type="gramEnd"/>
            <w:r w:rsidRPr="00CA76DB">
              <w:t xml:space="preserve"> что позволяет легко увидеть материал, содержащийся внутри. Внешний корпус выполнен из окрашенного алюминия, покрытого эпоксидной краской. Изоляция выполнена из стекловолокна, что позволяет минимизировать потери тепла. Температура воды контролируется термодатчиком. </w:t>
            </w:r>
          </w:p>
          <w:p w:rsidR="00580A7B" w:rsidRPr="00CA76DB" w:rsidRDefault="00580A7B" w:rsidP="006537EC">
            <w:pPr>
              <w:jc w:val="both"/>
              <w:rPr>
                <w:rFonts w:eastAsia="Calibri"/>
              </w:rPr>
            </w:pPr>
            <w:r w:rsidRPr="00CA76DB">
              <w:rPr>
                <w:rFonts w:eastAsia="Calibri"/>
                <w:bCs/>
              </w:rPr>
              <w:t>Технические характеристики:</w:t>
            </w:r>
          </w:p>
          <w:p w:rsidR="00580A7B" w:rsidRPr="00CA76DB" w:rsidRDefault="00580A7B" w:rsidP="006537EC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>Размеры (внешний): 330x95 мм</w:t>
            </w:r>
          </w:p>
          <w:p w:rsidR="00580A7B" w:rsidRPr="00CA76DB" w:rsidRDefault="00580A7B" w:rsidP="006537EC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 xml:space="preserve">Размеры (внутренний): 200x60 мм  </w:t>
            </w:r>
          </w:p>
          <w:p w:rsidR="00580A7B" w:rsidRPr="00CA76DB" w:rsidRDefault="00580A7B" w:rsidP="006537EC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>Вес: 1,5 кг.</w:t>
            </w:r>
          </w:p>
          <w:p w:rsidR="00580A7B" w:rsidRPr="00CA76DB" w:rsidRDefault="00580A7B" w:rsidP="006537EC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 xml:space="preserve">Питание: 230В ~ 50/60 Гц. </w:t>
            </w:r>
          </w:p>
          <w:p w:rsidR="00580A7B" w:rsidRPr="00CA76DB" w:rsidRDefault="00580A7B" w:rsidP="006537EC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>Мощность: 250 Вт.</w:t>
            </w:r>
          </w:p>
          <w:p w:rsidR="00580A7B" w:rsidRPr="00CA76DB" w:rsidRDefault="00580A7B" w:rsidP="006537EC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 xml:space="preserve">Подключение воды: Не требуется. </w:t>
            </w:r>
          </w:p>
          <w:p w:rsidR="00580A7B" w:rsidRPr="00CA76DB" w:rsidRDefault="00580A7B" w:rsidP="006537EC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>Фильтрация: Не требуется.</w:t>
            </w:r>
          </w:p>
          <w:p w:rsidR="00580A7B" w:rsidRPr="00CA76DB" w:rsidRDefault="00580A7B" w:rsidP="00580A7B">
            <w:pPr>
              <w:ind w:right="-1951"/>
              <w:rPr>
                <w:rFonts w:eastAsia="Calibri"/>
              </w:rPr>
            </w:pPr>
            <w:r w:rsidRPr="00CA76DB">
              <w:rPr>
                <w:rFonts w:eastAsia="Calibri"/>
              </w:rPr>
              <w:t xml:space="preserve">Функциональные особенности </w:t>
            </w:r>
          </w:p>
          <w:p w:rsidR="00580A7B" w:rsidRPr="00CA76DB" w:rsidRDefault="00580A7B" w:rsidP="006537EC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 xml:space="preserve">Вместимость: 1,5 л. </w:t>
            </w:r>
          </w:p>
          <w:p w:rsidR="00580A7B" w:rsidRPr="00CA76DB" w:rsidRDefault="00580A7B" w:rsidP="006537EC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>Установка температуры: от + 30</w:t>
            </w:r>
            <w:proofErr w:type="gramStart"/>
            <w:r w:rsidRPr="00CA76DB">
              <w:rPr>
                <w:rFonts w:eastAsia="Calibri"/>
              </w:rPr>
              <w:t xml:space="preserve"> ° С</w:t>
            </w:r>
            <w:proofErr w:type="gramEnd"/>
            <w:r w:rsidRPr="00CA76DB">
              <w:rPr>
                <w:rFonts w:eastAsia="Calibri"/>
              </w:rPr>
              <w:t xml:space="preserve"> до + 80 ° C. </w:t>
            </w:r>
          </w:p>
          <w:p w:rsidR="00580A7B" w:rsidRPr="00CA76DB" w:rsidRDefault="00580A7B" w:rsidP="006537EC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>Точность: В + 37</w:t>
            </w:r>
            <w:proofErr w:type="gramStart"/>
            <w:r w:rsidRPr="00CA76DB">
              <w:rPr>
                <w:rFonts w:eastAsia="Calibri"/>
              </w:rPr>
              <w:t xml:space="preserve"> ° С</w:t>
            </w:r>
            <w:proofErr w:type="gramEnd"/>
            <w:r w:rsidRPr="00CA76DB">
              <w:rPr>
                <w:rFonts w:eastAsia="Calibri"/>
              </w:rPr>
              <w:t xml:space="preserve"> ± 1,5 ° C. </w:t>
            </w:r>
          </w:p>
          <w:p w:rsidR="00580A7B" w:rsidRPr="00CA76DB" w:rsidRDefault="00580A7B" w:rsidP="006537EC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 xml:space="preserve">Мощность нагрева: 250 Вт. </w:t>
            </w:r>
          </w:p>
          <w:p w:rsidR="00580A7B" w:rsidRPr="00CA76DB" w:rsidRDefault="00580A7B" w:rsidP="006537EC">
            <w:pPr>
              <w:rPr>
                <w:rFonts w:ascii="Arial" w:eastAsia="Calibri" w:hAnsi="Arial" w:cs="Arial"/>
              </w:rPr>
            </w:pPr>
            <w:r w:rsidRPr="00CA76DB">
              <w:rPr>
                <w:rFonts w:eastAsia="Calibri"/>
              </w:rPr>
              <w:t>Степень защиты: IP54.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7B" w:rsidRPr="00111442" w:rsidRDefault="00580A7B" w:rsidP="006537EC">
            <w:pPr>
              <w:jc w:val="center"/>
            </w:pPr>
            <w:proofErr w:type="spellStart"/>
            <w:proofErr w:type="gramStart"/>
            <w:r w:rsidRPr="00111442"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7B" w:rsidRPr="00111442" w:rsidRDefault="00580A7B" w:rsidP="006537EC">
            <w:pPr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7B" w:rsidRPr="00111442" w:rsidRDefault="00580A7B" w:rsidP="006537EC">
            <w:pPr>
              <w:jc w:val="center"/>
            </w:pPr>
            <w:r>
              <w:t>850 000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A7B" w:rsidRPr="00111442" w:rsidRDefault="00580A7B" w:rsidP="006537EC">
            <w:pPr>
              <w:jc w:val="center"/>
            </w:pPr>
            <w:r>
              <w:t>1 700 000</w:t>
            </w:r>
          </w:p>
        </w:tc>
      </w:tr>
      <w:tr w:rsidR="00580A7B" w:rsidRPr="00111442" w:rsidTr="00580A7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A7B" w:rsidRPr="00CA76DB" w:rsidRDefault="00580A7B" w:rsidP="006537EC">
            <w:pPr>
              <w:jc w:val="right"/>
            </w:pPr>
            <w:r w:rsidRPr="00CA76DB">
              <w:t>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7B" w:rsidRPr="00CA76DB" w:rsidRDefault="00580A7B" w:rsidP="006537EC">
            <w:r w:rsidRPr="00CA76DB">
              <w:t>Нагревающий гистологический столик обеспечивает простой и безопасный метод сушки парафиновых срезов, как требуется в гистологических и патологических лабораториях. Материал – листовая сталь. Рабочая поверхность выполнена из  черного анодированного алюминия, толщиной 8 мм. Диапазон температуры: от + 20</w:t>
            </w:r>
            <w:proofErr w:type="gramStart"/>
            <w:r w:rsidRPr="00CA76DB">
              <w:t xml:space="preserve"> ° С</w:t>
            </w:r>
            <w:proofErr w:type="gramEnd"/>
            <w:r w:rsidRPr="00CA76DB">
              <w:t xml:space="preserve"> до + 90 °</w:t>
            </w:r>
          </w:p>
          <w:p w:rsidR="00580A7B" w:rsidRPr="00CA76DB" w:rsidRDefault="00580A7B" w:rsidP="006537EC">
            <w:r w:rsidRPr="00CA76DB">
              <w:t xml:space="preserve">Электронный термостат с микропроцессором. </w:t>
            </w:r>
          </w:p>
          <w:p w:rsidR="00580A7B" w:rsidRPr="00CA76DB" w:rsidRDefault="00580A7B" w:rsidP="006537EC">
            <w:r w:rsidRPr="00CA76DB">
              <w:t>Возможность программирования цикла температуры.</w:t>
            </w:r>
          </w:p>
          <w:p w:rsidR="00580A7B" w:rsidRPr="00CA76DB" w:rsidRDefault="00580A7B" w:rsidP="006537EC">
            <w:r w:rsidRPr="00CA76DB">
              <w:t>Габариты  (</w:t>
            </w:r>
            <w:proofErr w:type="spellStart"/>
            <w:r w:rsidRPr="00CA76DB">
              <w:t>Ш</w:t>
            </w:r>
            <w:proofErr w:type="gramStart"/>
            <w:r w:rsidRPr="00CA76DB">
              <w:t>x</w:t>
            </w:r>
            <w:proofErr w:type="gramEnd"/>
            <w:r w:rsidRPr="00CA76DB">
              <w:t>ГхВ</w:t>
            </w:r>
            <w:proofErr w:type="spellEnd"/>
            <w:r w:rsidRPr="00CA76DB">
              <w:t xml:space="preserve">):  150x380x100 мм </w:t>
            </w:r>
          </w:p>
          <w:p w:rsidR="00580A7B" w:rsidRPr="00111442" w:rsidRDefault="00580A7B" w:rsidP="006537EC">
            <w:pPr>
              <w:rPr>
                <w:lang w:val="kk-KZ"/>
              </w:rPr>
            </w:pPr>
            <w:r w:rsidRPr="00CA76DB">
              <w:t>Вес:  2,0  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7B" w:rsidRPr="00111442" w:rsidRDefault="00580A7B" w:rsidP="006537EC">
            <w:pPr>
              <w:jc w:val="center"/>
              <w:rPr>
                <w:lang w:val="kk-KZ"/>
              </w:rPr>
            </w:pPr>
            <w:r w:rsidRPr="00111442">
              <w:rPr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7B" w:rsidRPr="00111442" w:rsidRDefault="00580A7B" w:rsidP="006537EC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7B" w:rsidRPr="00111442" w:rsidRDefault="00580A7B" w:rsidP="006537EC">
            <w:pPr>
              <w:jc w:val="center"/>
            </w:pPr>
            <w:r>
              <w:t>950 000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A7B" w:rsidRPr="00111442" w:rsidRDefault="00580A7B" w:rsidP="006537EC">
            <w:pPr>
              <w:jc w:val="center"/>
            </w:pPr>
            <w:r>
              <w:t>1 900 000</w:t>
            </w:r>
          </w:p>
        </w:tc>
      </w:tr>
    </w:tbl>
    <w:p w:rsidR="002842D3" w:rsidRDefault="002842D3" w:rsidP="006409C3">
      <w:pPr>
        <w:pStyle w:val="a6"/>
        <w:tabs>
          <w:tab w:val="left" w:pos="851"/>
        </w:tabs>
        <w:ind w:left="0" w:firstLine="567"/>
        <w:jc w:val="both"/>
      </w:pPr>
    </w:p>
    <w:p w:rsidR="006409C3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842D3">
        <w:rPr>
          <w:color w:val="000000"/>
        </w:rPr>
        <w:t xml:space="preserve">Заявка </w:t>
      </w:r>
      <w:proofErr w:type="gramStart"/>
      <w:r w:rsidRPr="002842D3">
        <w:rPr>
          <w:color w:val="000000"/>
        </w:rPr>
        <w:t xml:space="preserve">на участие в закупке из одного источника по несостоявшемуся </w:t>
      </w:r>
      <w:r w:rsidR="009E4562" w:rsidRPr="002842D3">
        <w:rPr>
          <w:color w:val="000000"/>
        </w:rPr>
        <w:t xml:space="preserve">закупу способом </w:t>
      </w:r>
      <w:r w:rsidR="002842D3">
        <w:rPr>
          <w:color w:val="000000"/>
        </w:rPr>
        <w:t>тендера</w:t>
      </w:r>
      <w:r w:rsidRPr="002842D3">
        <w:rPr>
          <w:color w:val="000000"/>
        </w:rPr>
        <w:t xml:space="preserve"> на основании</w:t>
      </w:r>
      <w:proofErr w:type="gramEnd"/>
      <w:r w:rsidRPr="002842D3">
        <w:rPr>
          <w:color w:val="000000"/>
        </w:rPr>
        <w:t xml:space="preserve"> приглашения организатора поступила от  следующ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потенциальн</w:t>
      </w:r>
      <w:r w:rsidR="002842D3">
        <w:rPr>
          <w:color w:val="000000"/>
        </w:rPr>
        <w:t>ого</w:t>
      </w:r>
      <w:r w:rsidRPr="002842D3">
        <w:rPr>
          <w:color w:val="000000"/>
        </w:rPr>
        <w:t xml:space="preserve"> поставщик</w:t>
      </w:r>
      <w:r w:rsidR="002842D3">
        <w:rPr>
          <w:color w:val="000000"/>
        </w:rPr>
        <w:t>а</w:t>
      </w:r>
      <w:r w:rsidRPr="002842D3">
        <w:rPr>
          <w:color w:val="000000"/>
        </w:rPr>
        <w:t>, представивш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их в установленные сроки, до истечения</w:t>
      </w:r>
      <w:r w:rsidRPr="009E4562">
        <w:t xml:space="preserve"> </w:t>
      </w:r>
      <w:r w:rsidRPr="002842D3">
        <w:rPr>
          <w:color w:val="000000"/>
        </w:rPr>
        <w:t>окончательного срока п</w:t>
      </w:r>
      <w:r w:rsidR="009E4562" w:rsidRPr="002842D3">
        <w:rPr>
          <w:color w:val="000000"/>
        </w:rPr>
        <w:t>редставления заявок на участие</w:t>
      </w:r>
      <w:r w:rsidRPr="002842D3">
        <w:rPr>
          <w:color w:val="000000"/>
        </w:rPr>
        <w:t>:</w:t>
      </w:r>
      <w:r w:rsidR="009E4562" w:rsidRPr="002842D3">
        <w:rPr>
          <w:color w:val="000000"/>
        </w:rPr>
        <w:t xml:space="preserve"> </w:t>
      </w:r>
      <w:r w:rsidR="00AB47AD" w:rsidRPr="00982C67">
        <w:t>ТОО «</w:t>
      </w:r>
      <w:r w:rsidR="00580A7B">
        <w:rPr>
          <w:lang w:val="kk-KZ"/>
        </w:rPr>
        <w:t>ШығысКардиосистем</w:t>
      </w:r>
      <w:r w:rsidR="00AB47AD" w:rsidRPr="00982C67">
        <w:t>» г. Усть-Ка</w:t>
      </w:r>
      <w:r w:rsidR="00580A7B">
        <w:t>меногорск, пр.</w:t>
      </w:r>
      <w:proofErr w:type="gramStart"/>
      <w:r w:rsidR="00580A7B">
        <w:t xml:space="preserve"> </w:t>
      </w:r>
      <w:proofErr w:type="gramEnd"/>
      <w:r w:rsidR="00580A7B">
        <w:t>Абая, 154/1</w:t>
      </w:r>
      <w:r w:rsidRPr="009E4562">
        <w:t>;</w:t>
      </w:r>
    </w:p>
    <w:p w:rsidR="007E3A39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lastRenderedPageBreak/>
        <w:t xml:space="preserve">Цены, предложенные потенциальным поставщиком,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6409C3" w:rsidTr="00B236D4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Default="006409C3" w:rsidP="00B236D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Default="006409C3" w:rsidP="000D7A2C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Default="006409C3" w:rsidP="00B236D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580A7B" w:rsidTr="00B001B0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A7B" w:rsidRDefault="00580A7B" w:rsidP="005A604B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82C67">
              <w:t>ТОО «</w:t>
            </w:r>
            <w:r>
              <w:rPr>
                <w:lang w:val="kk-KZ"/>
              </w:rPr>
              <w:t>ШығысКардиосистем</w:t>
            </w:r>
            <w:r w:rsidRPr="00982C67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7B" w:rsidRPr="00AB47AD" w:rsidRDefault="00580A7B" w:rsidP="00F60D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A7B" w:rsidRPr="00111442" w:rsidRDefault="00580A7B" w:rsidP="006537EC">
            <w:pPr>
              <w:jc w:val="center"/>
            </w:pPr>
            <w:r>
              <w:t>850 000</w:t>
            </w:r>
          </w:p>
        </w:tc>
      </w:tr>
      <w:tr w:rsidR="00580A7B" w:rsidRPr="00AB47AD" w:rsidTr="00580A7B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A7B" w:rsidRPr="00580A7B" w:rsidRDefault="00580A7B" w:rsidP="006537EC">
            <w:pPr>
              <w:tabs>
                <w:tab w:val="left" w:pos="851"/>
                <w:tab w:val="left" w:pos="1276"/>
              </w:tabs>
              <w:spacing w:line="276" w:lineRule="auto"/>
              <w:jc w:val="center"/>
            </w:pPr>
            <w:r w:rsidRPr="00982C67">
              <w:t>ТОО «</w:t>
            </w:r>
            <w:proofErr w:type="spellStart"/>
            <w:r w:rsidRPr="00580A7B">
              <w:t>ШығысКардиосистем</w:t>
            </w:r>
            <w:proofErr w:type="spellEnd"/>
            <w:r w:rsidRPr="00982C67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7B" w:rsidRPr="00580A7B" w:rsidRDefault="00580A7B" w:rsidP="006537EC">
            <w:pPr>
              <w:jc w:val="center"/>
            </w:pPr>
            <w: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A7B" w:rsidRPr="00111442" w:rsidRDefault="00580A7B" w:rsidP="006537EC">
            <w:pPr>
              <w:jc w:val="center"/>
            </w:pPr>
            <w:r>
              <w:t>950 000</w:t>
            </w:r>
          </w:p>
        </w:tc>
      </w:tr>
    </w:tbl>
    <w:p w:rsidR="00AB47AD" w:rsidRDefault="00AB47AD" w:rsidP="006409C3">
      <w:pPr>
        <w:ind w:firstLine="567"/>
        <w:jc w:val="both"/>
        <w:rPr>
          <w:lang w:val="en-US"/>
        </w:rPr>
      </w:pPr>
    </w:p>
    <w:p w:rsidR="006409C3" w:rsidRPr="006409C3" w:rsidRDefault="005A604B" w:rsidP="006409C3">
      <w:pPr>
        <w:ind w:firstLine="567"/>
        <w:jc w:val="both"/>
      </w:pPr>
      <w:r>
        <w:rPr>
          <w:lang w:val="kk-KZ"/>
        </w:rPr>
        <w:t>П</w:t>
      </w:r>
      <w:proofErr w:type="spellStart"/>
      <w:r w:rsidR="006409C3">
        <w:t>оставщик</w:t>
      </w:r>
      <w:proofErr w:type="spellEnd"/>
      <w:r>
        <w:rPr>
          <w:lang w:val="kk-KZ"/>
        </w:rPr>
        <w:t>ом</w:t>
      </w:r>
      <w:r w:rsidR="006409C3">
        <w:t xml:space="preserve"> представлены все документы предусмотренные п.113</w:t>
      </w:r>
      <w:r w:rsidR="006409C3" w:rsidRPr="006409C3">
        <w:t xml:space="preserve"> Правил организации и проведения закупа лекарственных средств и медицинских изделий, фармацевтических услуг</w:t>
      </w:r>
    </w:p>
    <w:p w:rsidR="007E3A39" w:rsidRPr="009E4562" w:rsidRDefault="007E3A39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7E3A39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6409C3" w:rsidRPr="009E4562" w:rsidRDefault="006409C3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color w:val="000000"/>
        </w:rPr>
        <w:t>Признать представленную заявку по</w:t>
      </w:r>
      <w:r>
        <w:rPr>
          <w:color w:val="000000"/>
        </w:rPr>
        <w:t xml:space="preserve"> лот</w:t>
      </w:r>
      <w:r w:rsidR="00580A7B">
        <w:rPr>
          <w:color w:val="000000"/>
          <w:lang w:val="kk-KZ"/>
        </w:rPr>
        <w:t>ам</w:t>
      </w:r>
      <w:r>
        <w:rPr>
          <w:color w:val="000000"/>
        </w:rPr>
        <w:t xml:space="preserve"> №</w:t>
      </w:r>
      <w:r w:rsidR="00AB47AD">
        <w:rPr>
          <w:color w:val="000000"/>
        </w:rPr>
        <w:t>1</w:t>
      </w:r>
      <w:r w:rsidR="00580A7B">
        <w:rPr>
          <w:color w:val="000000"/>
        </w:rPr>
        <w:t>,2</w:t>
      </w:r>
      <w:r>
        <w:rPr>
          <w:color w:val="000000"/>
        </w:rPr>
        <w:t xml:space="preserve"> для</w:t>
      </w:r>
      <w:r w:rsidRPr="009E4562">
        <w:rPr>
          <w:color w:val="000000"/>
        </w:rPr>
        <w:t xml:space="preserve"> закуп</w:t>
      </w:r>
      <w:r>
        <w:rPr>
          <w:color w:val="000000"/>
        </w:rPr>
        <w:t>а</w:t>
      </w:r>
      <w:r w:rsidRPr="009E4562">
        <w:rPr>
          <w:color w:val="000000"/>
        </w:rPr>
        <w:t xml:space="preserve"> из одного источника</w:t>
      </w:r>
      <w:r>
        <w:rPr>
          <w:color w:val="000000"/>
        </w:rPr>
        <w:t xml:space="preserve"> документацию соответствующей</w:t>
      </w:r>
      <w:r w:rsidR="007A30FC">
        <w:rPr>
          <w:color w:val="000000"/>
        </w:rPr>
        <w:t>.</w:t>
      </w:r>
    </w:p>
    <w:p w:rsidR="00806006" w:rsidRPr="009E4562" w:rsidRDefault="00580A7B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>
        <w:rPr>
          <w:bCs/>
        </w:rPr>
        <w:t>Заключить с</w:t>
      </w:r>
      <w:r w:rsidR="00AB47AD" w:rsidRPr="00982C67">
        <w:t xml:space="preserve"> </w:t>
      </w:r>
      <w:r w:rsidRPr="00982C67">
        <w:t>ТОО «</w:t>
      </w:r>
      <w:r>
        <w:rPr>
          <w:lang w:val="kk-KZ"/>
        </w:rPr>
        <w:t>ШығысКардиос</w:t>
      </w:r>
      <w:bookmarkStart w:id="0" w:name="_GoBack"/>
      <w:bookmarkEnd w:id="0"/>
      <w:r>
        <w:rPr>
          <w:lang w:val="kk-KZ"/>
        </w:rPr>
        <w:t>истем</w:t>
      </w:r>
      <w:r w:rsidRPr="00982C67">
        <w:t>» г. Усть-Ка</w:t>
      </w:r>
      <w:r>
        <w:t>меногорск, пр. Абая, 154/1</w:t>
      </w:r>
      <w:r>
        <w:t xml:space="preserve"> </w:t>
      </w:r>
      <w:r w:rsidR="00806006"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842D3" w:rsidRDefault="009E4562" w:rsidP="002842D3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sectPr w:rsidR="00B57FA7" w:rsidRPr="002842D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3210E93"/>
    <w:multiLevelType w:val="multilevel"/>
    <w:tmpl w:val="9B80EB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Arial Kaz Kairat" w:hAnsi="Arial Kaz Kairat" w:hint="default"/>
      </w:rPr>
    </w:lvl>
  </w:abstractNum>
  <w:abstractNum w:abstractNumId="2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16D40"/>
    <w:rsid w:val="0005460D"/>
    <w:rsid w:val="000D7A2C"/>
    <w:rsid w:val="00117F63"/>
    <w:rsid w:val="00184848"/>
    <w:rsid w:val="001E5E79"/>
    <w:rsid w:val="002365AB"/>
    <w:rsid w:val="002553EC"/>
    <w:rsid w:val="00274133"/>
    <w:rsid w:val="002842D3"/>
    <w:rsid w:val="00292356"/>
    <w:rsid w:val="00351119"/>
    <w:rsid w:val="00580A7B"/>
    <w:rsid w:val="005A604B"/>
    <w:rsid w:val="006409C3"/>
    <w:rsid w:val="006829E4"/>
    <w:rsid w:val="007546DF"/>
    <w:rsid w:val="007A30FC"/>
    <w:rsid w:val="007B2D9F"/>
    <w:rsid w:val="007E3A39"/>
    <w:rsid w:val="00806006"/>
    <w:rsid w:val="00827195"/>
    <w:rsid w:val="008B4E5B"/>
    <w:rsid w:val="009813A4"/>
    <w:rsid w:val="009E4562"/>
    <w:rsid w:val="00AB47AD"/>
    <w:rsid w:val="00B21EF5"/>
    <w:rsid w:val="00BA00DB"/>
    <w:rsid w:val="00BC36AF"/>
    <w:rsid w:val="00C538C2"/>
    <w:rsid w:val="00C73579"/>
    <w:rsid w:val="00D1732A"/>
    <w:rsid w:val="00D36015"/>
    <w:rsid w:val="00D7288B"/>
    <w:rsid w:val="00D912B3"/>
    <w:rsid w:val="00DA2120"/>
    <w:rsid w:val="00E90ACD"/>
    <w:rsid w:val="00E970B8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09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09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2018-08-03T03:13:00Z</cp:lastPrinted>
  <dcterms:created xsi:type="dcterms:W3CDTF">2021-03-04T04:52:00Z</dcterms:created>
  <dcterms:modified xsi:type="dcterms:W3CDTF">2021-03-04T04:52:00Z</dcterms:modified>
</cp:coreProperties>
</file>